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77" w:rsidRPr="00486926" w:rsidRDefault="008A3777" w:rsidP="00867533">
      <w:pPr>
        <w:rPr>
          <w:rFonts w:ascii="GillSans-Light" w:hAnsi="GillSans-Light" w:cs="GillSans-Light"/>
          <w:color w:val="1A181C"/>
          <w:sz w:val="18"/>
          <w:szCs w:val="18"/>
          <w:lang w:val="tr-TR"/>
        </w:rPr>
      </w:pPr>
      <w:r w:rsidRPr="00486926">
        <w:rPr>
          <w:rFonts w:ascii="GillSans-Light" w:hAnsi="GillSans-Light" w:cs="GillSans-Light"/>
          <w:color w:val="1A181C"/>
          <w:sz w:val="18"/>
          <w:szCs w:val="18"/>
          <w:highlight w:val="lightGray"/>
          <w:lang w:val="tr-TR"/>
        </w:rPr>
        <w:t xml:space="preserve">Cam </w:t>
      </w:r>
      <w:proofErr w:type="spellStart"/>
      <w:r w:rsidRPr="00486926">
        <w:rPr>
          <w:rFonts w:ascii="GillSans-Light" w:hAnsi="GillSans-Light" w:cs="GillSans-Light"/>
          <w:color w:val="1A181C"/>
          <w:sz w:val="18"/>
          <w:szCs w:val="18"/>
          <w:highlight w:val="lightGray"/>
          <w:lang w:val="tr-TR"/>
        </w:rPr>
        <w:t>İyonomer</w:t>
      </w:r>
      <w:proofErr w:type="spellEnd"/>
      <w:r w:rsidRPr="00486926">
        <w:rPr>
          <w:rFonts w:ascii="GillSans-Light" w:hAnsi="GillSans-Light" w:cs="GillSans-Light"/>
          <w:color w:val="1A181C"/>
          <w:sz w:val="18"/>
          <w:szCs w:val="18"/>
          <w:highlight w:val="lightGray"/>
          <w:lang w:val="tr-TR"/>
        </w:rPr>
        <w:t xml:space="preserve"> Dolgu Materyalleri</w:t>
      </w:r>
    </w:p>
    <w:p w:rsidR="00486926" w:rsidRDefault="00867533" w:rsidP="007D2BC7">
      <w:pPr>
        <w:rPr>
          <w:rFonts w:ascii="GillSans-Light" w:hAnsi="GillSans-Light" w:cs="GillSans-Light"/>
          <w:color w:val="1A181C"/>
          <w:sz w:val="18"/>
          <w:szCs w:val="18"/>
          <w:lang w:val="tr-TR"/>
        </w:rPr>
      </w:pPr>
      <w:r w:rsidRPr="00486926">
        <w:rPr>
          <w:rFonts w:ascii="GillSans-Light" w:hAnsi="GillSans-Light" w:cs="GillSans-Light"/>
          <w:color w:val="1A181C"/>
          <w:sz w:val="18"/>
          <w:szCs w:val="18"/>
          <w:lang w:val="tr-TR"/>
        </w:rPr>
        <w:t xml:space="preserve">AHL’nin cam iyonomer dolgu materyalleri, aşınma direncinden ve mukavemetinden ödün vermeden mükemmel bir estetik sunan translüsid alumina silikat cam kullanılarak üretilmiştir. Hem anterior hem de posterior materyaller </w:t>
      </w:r>
      <w:r w:rsidR="009A1648" w:rsidRPr="00486926">
        <w:rPr>
          <w:rFonts w:ascii="GillSans-Light" w:hAnsi="GillSans-Light" w:cs="GillSans-Light"/>
          <w:color w:val="1A181C"/>
          <w:sz w:val="18"/>
          <w:szCs w:val="18"/>
          <w:lang w:val="tr-TR"/>
        </w:rPr>
        <w:t xml:space="preserve">minimum dişeti hassasiyetiyle kusursuz </w:t>
      </w:r>
      <w:r w:rsidRPr="00486926">
        <w:rPr>
          <w:rFonts w:ascii="GillSans-Light" w:hAnsi="GillSans-Light" w:cs="GillSans-Light"/>
          <w:color w:val="1A181C"/>
          <w:sz w:val="18"/>
          <w:szCs w:val="18"/>
          <w:lang w:val="tr-TR"/>
        </w:rPr>
        <w:t xml:space="preserve">bir saydamlık, </w:t>
      </w:r>
      <w:r w:rsidR="009A1648" w:rsidRPr="00486926">
        <w:rPr>
          <w:rFonts w:ascii="GillSans-Light" w:hAnsi="GillSans-Light" w:cs="GillSans-Light"/>
          <w:color w:val="1A181C"/>
          <w:sz w:val="18"/>
          <w:szCs w:val="18"/>
          <w:lang w:val="tr-TR"/>
        </w:rPr>
        <w:t xml:space="preserve">yüksek florid salımı, mükemmel biyo-uyumluluk sergiler. Her </w:t>
      </w:r>
      <w:r w:rsidR="008A3777" w:rsidRPr="00486926">
        <w:rPr>
          <w:rFonts w:ascii="GillSans-Light" w:hAnsi="GillSans-Light" w:cs="GillSans-Light"/>
          <w:color w:val="1A181C"/>
          <w:sz w:val="18"/>
          <w:szCs w:val="18"/>
          <w:lang w:val="tr-TR"/>
        </w:rPr>
        <w:t>iki ürün de doğal diş yapısınınkine</w:t>
      </w:r>
      <w:r w:rsidR="00F150D4" w:rsidRPr="00486926">
        <w:rPr>
          <w:rFonts w:ascii="GillSans-Light" w:hAnsi="GillSans-Light" w:cs="GillSans-Light"/>
          <w:color w:val="1A181C"/>
          <w:sz w:val="18"/>
          <w:szCs w:val="18"/>
          <w:lang w:val="tr-TR"/>
        </w:rPr>
        <w:t xml:space="preserve"> </w:t>
      </w:r>
      <w:r w:rsidR="008A3777" w:rsidRPr="00486926">
        <w:rPr>
          <w:rFonts w:ascii="GillSans-Light" w:hAnsi="GillSans-Light" w:cs="GillSans-Light"/>
          <w:color w:val="1A181C"/>
          <w:sz w:val="18"/>
          <w:szCs w:val="18"/>
          <w:lang w:val="tr-TR"/>
        </w:rPr>
        <w:t xml:space="preserve">yakın bir termal genleşme katsayısına (CTE) </w:t>
      </w:r>
      <w:r w:rsidR="009A1648" w:rsidRPr="00486926">
        <w:rPr>
          <w:rFonts w:ascii="GillSans-Light" w:hAnsi="GillSans-Light" w:cs="GillSans-Light"/>
          <w:color w:val="1A181C"/>
          <w:sz w:val="18"/>
          <w:szCs w:val="18"/>
          <w:lang w:val="tr-TR"/>
        </w:rPr>
        <w:t xml:space="preserve"> </w:t>
      </w:r>
      <w:r w:rsidR="00486926">
        <w:rPr>
          <w:rFonts w:ascii="GillSans-Light" w:hAnsi="GillSans-Light" w:cs="GillSans-Light"/>
          <w:color w:val="1A181C"/>
          <w:sz w:val="18"/>
          <w:szCs w:val="18"/>
          <w:lang w:val="tr-TR"/>
        </w:rPr>
        <w:t xml:space="preserve">ve üstün bir </w:t>
      </w:r>
      <w:proofErr w:type="spellStart"/>
      <w:r w:rsidR="00486926">
        <w:rPr>
          <w:rFonts w:ascii="GillSans-Light" w:hAnsi="GillSans-Light" w:cs="GillSans-Light"/>
          <w:color w:val="1A181C"/>
          <w:sz w:val="18"/>
          <w:szCs w:val="18"/>
          <w:lang w:val="tr-TR"/>
        </w:rPr>
        <w:t>mukavemete</w:t>
      </w:r>
      <w:r w:rsidR="008A3777" w:rsidRPr="00486926">
        <w:rPr>
          <w:rFonts w:ascii="GillSans-Light" w:hAnsi="GillSans-Light" w:cs="GillSans-Light"/>
          <w:color w:val="1A181C"/>
          <w:sz w:val="18"/>
          <w:szCs w:val="18"/>
          <w:lang w:val="tr-TR"/>
        </w:rPr>
        <w:t>sahiptir</w:t>
      </w:r>
      <w:proofErr w:type="spellEnd"/>
    </w:p>
    <w:p w:rsidR="00486926" w:rsidRDefault="008A3777" w:rsidP="007D2BC7">
      <w:pPr>
        <w:rPr>
          <w:rFonts w:ascii="GillSans-Light" w:hAnsi="GillSans-Light" w:cs="GillSans-Light"/>
          <w:color w:val="1A181C"/>
          <w:sz w:val="18"/>
          <w:szCs w:val="18"/>
          <w:lang w:val="tr-TR"/>
        </w:rPr>
      </w:pPr>
      <w:r w:rsidRPr="00486926">
        <w:rPr>
          <w:rFonts w:ascii="GillSans-Light" w:hAnsi="GillSans-Light" w:cs="GillSans-Light"/>
          <w:color w:val="1A181C"/>
          <w:sz w:val="18"/>
          <w:szCs w:val="18"/>
          <w:lang w:val="tr-TR"/>
        </w:rPr>
        <w:t xml:space="preserve">. </w:t>
      </w:r>
      <w:proofErr w:type="spellStart"/>
      <w:r w:rsidRPr="00486926">
        <w:rPr>
          <w:rFonts w:ascii="GillSans-Light" w:hAnsi="GillSans-Light" w:cs="GillSans-Light"/>
          <w:color w:val="1A181C"/>
          <w:sz w:val="18"/>
          <w:szCs w:val="18"/>
          <w:highlight w:val="lightGray"/>
          <w:lang w:val="tr-TR"/>
        </w:rPr>
        <w:t>AHfil</w:t>
      </w:r>
      <w:proofErr w:type="spellEnd"/>
      <w:r w:rsidRPr="00486926">
        <w:rPr>
          <w:rFonts w:ascii="GillSans-Light" w:hAnsi="GillSans-Light" w:cs="GillSans-Light"/>
          <w:color w:val="1A181C"/>
          <w:sz w:val="18"/>
          <w:szCs w:val="18"/>
          <w:highlight w:val="lightGray"/>
          <w:lang w:val="tr-TR"/>
        </w:rPr>
        <w:t xml:space="preserve"> – </w:t>
      </w:r>
      <w:proofErr w:type="spellStart"/>
      <w:r w:rsidRPr="00486926">
        <w:rPr>
          <w:rFonts w:ascii="GillSans-Light" w:hAnsi="GillSans-Light" w:cs="GillSans-Light"/>
          <w:color w:val="1A181C"/>
          <w:sz w:val="18"/>
          <w:szCs w:val="18"/>
          <w:highlight w:val="lightGray"/>
          <w:lang w:val="tr-TR"/>
        </w:rPr>
        <w:t>Anterior</w:t>
      </w:r>
      <w:proofErr w:type="spellEnd"/>
      <w:r w:rsidRPr="00486926">
        <w:rPr>
          <w:rFonts w:ascii="GillSans-Light" w:hAnsi="GillSans-Light" w:cs="GillSans-Light"/>
          <w:color w:val="1A181C"/>
          <w:sz w:val="18"/>
          <w:szCs w:val="18"/>
          <w:highlight w:val="lightGray"/>
          <w:lang w:val="tr-TR"/>
        </w:rPr>
        <w:t xml:space="preserve"> </w:t>
      </w:r>
      <w:proofErr w:type="spellStart"/>
      <w:r w:rsidR="00C87ADC" w:rsidRPr="00486926">
        <w:rPr>
          <w:rFonts w:ascii="GillSans-Light" w:hAnsi="GillSans-Light" w:cs="GillSans-Light"/>
          <w:color w:val="1A181C"/>
          <w:sz w:val="18"/>
          <w:szCs w:val="18"/>
          <w:highlight w:val="lightGray"/>
          <w:lang w:val="tr-TR"/>
        </w:rPr>
        <w:t>Re</w:t>
      </w:r>
      <w:r w:rsidRPr="00486926">
        <w:rPr>
          <w:rFonts w:ascii="GillSans-Light" w:hAnsi="GillSans-Light" w:cs="GillSans-Light"/>
          <w:color w:val="1A181C"/>
          <w:sz w:val="18"/>
          <w:szCs w:val="18"/>
          <w:highlight w:val="lightGray"/>
          <w:lang w:val="tr-TR"/>
        </w:rPr>
        <w:t>storatif</w:t>
      </w:r>
      <w:proofErr w:type="spellEnd"/>
      <w:r w:rsidRPr="00486926">
        <w:rPr>
          <w:rFonts w:ascii="GillSans-Light" w:hAnsi="GillSans-Light" w:cs="GillSans-Light"/>
          <w:color w:val="1A181C"/>
          <w:sz w:val="18"/>
          <w:szCs w:val="18"/>
          <w:highlight w:val="lightGray"/>
          <w:lang w:val="tr-TR"/>
        </w:rPr>
        <w:t xml:space="preserve"> Materyal</w:t>
      </w:r>
      <w:r w:rsidRPr="00486926">
        <w:rPr>
          <w:rFonts w:ascii="GillSans-Light" w:hAnsi="GillSans-Light" w:cs="GillSans-Light"/>
          <w:color w:val="1A181C"/>
          <w:sz w:val="18"/>
          <w:szCs w:val="18"/>
          <w:lang w:val="tr-TR"/>
        </w:rPr>
        <w:t xml:space="preserve"> </w:t>
      </w:r>
    </w:p>
    <w:p w:rsidR="00F031A7" w:rsidRPr="00486926" w:rsidRDefault="009A1648" w:rsidP="007D2BC7">
      <w:pPr>
        <w:rPr>
          <w:rFonts w:ascii="GillSans-Light" w:hAnsi="GillSans-Light" w:cs="GillSans-Light"/>
          <w:color w:val="1A181C"/>
          <w:sz w:val="18"/>
          <w:szCs w:val="18"/>
          <w:lang w:val="tr-TR"/>
        </w:rPr>
      </w:pPr>
      <w:r w:rsidRPr="00486926">
        <w:rPr>
          <w:noProof/>
          <w:sz w:val="18"/>
          <w:szCs w:val="18"/>
          <w:lang w:val="tr-TR" w:eastAsia="tr-TR"/>
        </w:rPr>
        <w:drawing>
          <wp:inline distT="0" distB="0" distL="0" distR="0">
            <wp:extent cx="3419475" cy="194310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311" w:rsidRPr="00486926" w:rsidRDefault="00F031A7" w:rsidP="00F031A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606060"/>
          <w:sz w:val="18"/>
          <w:szCs w:val="18"/>
          <w:lang w:val="tr-TR" w:eastAsia="en-GB"/>
        </w:rPr>
      </w:pPr>
      <w:r w:rsidRPr="00486926">
        <w:rPr>
          <w:rFonts w:ascii="Arial" w:eastAsia="Times New Roman" w:hAnsi="Arial" w:cs="Arial"/>
          <w:color w:val="606060"/>
          <w:sz w:val="18"/>
          <w:szCs w:val="18"/>
          <w:lang w:val="tr-TR" w:eastAsia="en-GB"/>
        </w:rPr>
        <w:t xml:space="preserve">Advance Healthcare’in estetik cam iyonomer restorative materyalleri </w:t>
      </w:r>
      <w:r w:rsidR="00B4248C" w:rsidRPr="00486926">
        <w:rPr>
          <w:rFonts w:ascii="Arial" w:eastAsia="Times New Roman" w:hAnsi="Arial" w:cs="Arial"/>
          <w:color w:val="606060"/>
          <w:sz w:val="18"/>
          <w:szCs w:val="18"/>
          <w:lang w:val="tr-TR" w:eastAsia="en-GB"/>
        </w:rPr>
        <w:t xml:space="preserve">yüksek kalite ve mükemmel fiziksel özellikler için yenilenmiştir.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2"/>
        <w:gridCol w:w="2301"/>
      </w:tblGrid>
      <w:tr w:rsidR="00012311" w:rsidRPr="00486926" w:rsidTr="00F031A7">
        <w:tc>
          <w:tcPr>
            <w:tcW w:w="0" w:type="auto"/>
            <w:tcBorders>
              <w:bottom w:val="single" w:sz="6" w:space="0" w:color="126DA0"/>
            </w:tcBorders>
            <w:shd w:val="clear" w:color="auto" w:fill="60606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B4248C" w:rsidP="00F031A7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tr-TR" w:eastAsia="en-GB"/>
              </w:rPr>
              <w:t xml:space="preserve">Özellikler </w:t>
            </w:r>
          </w:p>
        </w:tc>
        <w:tc>
          <w:tcPr>
            <w:tcW w:w="0" w:type="auto"/>
            <w:tcBorders>
              <w:bottom w:val="single" w:sz="6" w:space="0" w:color="126DA0"/>
            </w:tcBorders>
            <w:shd w:val="clear" w:color="auto" w:fill="60606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B4248C" w:rsidP="00F031A7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tr-TR" w:eastAsia="en-GB"/>
              </w:rPr>
              <w:t>Faydaları</w:t>
            </w:r>
          </w:p>
        </w:tc>
      </w:tr>
      <w:tr w:rsidR="00012311" w:rsidRPr="00486926" w:rsidTr="00F031A7">
        <w:tc>
          <w:tcPr>
            <w:tcW w:w="0" w:type="auto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B4248C" w:rsidP="00F031A7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Mükemmel saydamlık</w:t>
            </w:r>
          </w:p>
        </w:tc>
        <w:tc>
          <w:tcPr>
            <w:tcW w:w="0" w:type="auto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B4248C" w:rsidP="00F031A7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Üstün estetik</w:t>
            </w:r>
          </w:p>
        </w:tc>
      </w:tr>
      <w:tr w:rsidR="00012311" w:rsidRPr="00486926" w:rsidTr="00F031A7">
        <w:tc>
          <w:tcPr>
            <w:tcW w:w="0" w:type="auto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B4248C" w:rsidP="00F031A7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Sıra</w:t>
            </w:r>
            <w:r w:rsidR="001961C5"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 xml:space="preserve"> </w:t>
            </w: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dışı güç</w:t>
            </w:r>
          </w:p>
        </w:tc>
        <w:tc>
          <w:tcPr>
            <w:tcW w:w="0" w:type="auto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B4248C" w:rsidP="00F031A7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 xml:space="preserve">Dayanıklı </w:t>
            </w:r>
            <w:proofErr w:type="gramStart"/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restorasyonlar</w:t>
            </w:r>
            <w:proofErr w:type="gramEnd"/>
          </w:p>
        </w:tc>
      </w:tr>
      <w:tr w:rsidR="00012311" w:rsidRPr="00486926" w:rsidTr="00F031A7">
        <w:tc>
          <w:tcPr>
            <w:tcW w:w="0" w:type="auto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012311" w:rsidP="001961C5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 xml:space="preserve">Sürekli </w:t>
            </w:r>
            <w:r w:rsidR="001961C5"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yüksek oranda florid</w:t>
            </w: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 xml:space="preserve"> salımı</w:t>
            </w:r>
          </w:p>
        </w:tc>
        <w:tc>
          <w:tcPr>
            <w:tcW w:w="0" w:type="auto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1961C5" w:rsidP="00F031A7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İ</w:t>
            </w:r>
            <w:r w:rsidR="00012311"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kincil çürüklerin önlenmesi</w:t>
            </w:r>
          </w:p>
        </w:tc>
      </w:tr>
      <w:tr w:rsidR="00012311" w:rsidRPr="00486926" w:rsidTr="00F031A7">
        <w:tc>
          <w:tcPr>
            <w:tcW w:w="0" w:type="auto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012311" w:rsidP="00F031A7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Yüksek yıpranma direnci</w:t>
            </w:r>
          </w:p>
        </w:tc>
        <w:tc>
          <w:tcPr>
            <w:tcW w:w="0" w:type="auto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012311" w:rsidP="00F031A7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 xml:space="preserve">Kalıcı </w:t>
            </w:r>
            <w:proofErr w:type="gramStart"/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restorasyonlar</w:t>
            </w:r>
            <w:proofErr w:type="gramEnd"/>
          </w:p>
        </w:tc>
      </w:tr>
      <w:tr w:rsidR="00012311" w:rsidRPr="00486926" w:rsidTr="00F031A7">
        <w:tc>
          <w:tcPr>
            <w:tcW w:w="0" w:type="auto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F031A7" w:rsidP="00012311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 xml:space="preserve">8 VITA® </w:t>
            </w:r>
            <w:r w:rsidR="00012311"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rengi</w:t>
            </w:r>
          </w:p>
        </w:tc>
        <w:tc>
          <w:tcPr>
            <w:tcW w:w="0" w:type="auto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012311" w:rsidP="00F031A7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Mükemmel diş tonu uyumu</w:t>
            </w:r>
          </w:p>
        </w:tc>
      </w:tr>
      <w:tr w:rsidR="00012311" w:rsidRPr="00486926" w:rsidTr="00F031A7">
        <w:tc>
          <w:tcPr>
            <w:tcW w:w="0" w:type="auto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012311" w:rsidP="00F031A7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Kolay karıştırma</w:t>
            </w:r>
          </w:p>
        </w:tc>
        <w:tc>
          <w:tcPr>
            <w:tcW w:w="0" w:type="auto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012311" w:rsidP="00F031A7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Kısa tedavi süresi</w:t>
            </w:r>
          </w:p>
        </w:tc>
      </w:tr>
    </w:tbl>
    <w:p w:rsidR="00F031A7" w:rsidRPr="00486926" w:rsidRDefault="00012311" w:rsidP="00F031A7">
      <w:pPr>
        <w:shd w:val="clear" w:color="auto" w:fill="FFFFFF"/>
        <w:spacing w:after="150" w:line="270" w:lineRule="atLeast"/>
        <w:outlineLvl w:val="3"/>
        <w:rPr>
          <w:rFonts w:ascii="Arial" w:eastAsia="Times New Roman" w:hAnsi="Arial" w:cs="Arial"/>
          <w:b/>
          <w:bCs/>
          <w:color w:val="606060"/>
          <w:spacing w:val="-15"/>
          <w:sz w:val="18"/>
          <w:szCs w:val="18"/>
          <w:lang w:val="tr-TR" w:eastAsia="en-GB"/>
        </w:rPr>
      </w:pPr>
      <w:r w:rsidRPr="00486926">
        <w:rPr>
          <w:rFonts w:ascii="Arial" w:eastAsia="Times New Roman" w:hAnsi="Arial" w:cs="Arial"/>
          <w:b/>
          <w:bCs/>
          <w:color w:val="606060"/>
          <w:spacing w:val="-15"/>
          <w:sz w:val="18"/>
          <w:szCs w:val="18"/>
          <w:lang w:val="tr-TR" w:eastAsia="en-GB"/>
        </w:rPr>
        <w:t xml:space="preserve">Ürün </w:t>
      </w:r>
      <w:proofErr w:type="spellStart"/>
      <w:r w:rsidRPr="00486926">
        <w:rPr>
          <w:rFonts w:ascii="Arial" w:eastAsia="Times New Roman" w:hAnsi="Arial" w:cs="Arial"/>
          <w:b/>
          <w:bCs/>
          <w:color w:val="606060"/>
          <w:spacing w:val="-15"/>
          <w:sz w:val="18"/>
          <w:szCs w:val="18"/>
          <w:lang w:val="tr-TR" w:eastAsia="en-GB"/>
        </w:rPr>
        <w:t>Endikasyonları</w:t>
      </w:r>
      <w:proofErr w:type="spellEnd"/>
    </w:p>
    <w:p w:rsidR="00F031A7" w:rsidRPr="00486926" w:rsidRDefault="00012311" w:rsidP="00F031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06060"/>
          <w:sz w:val="18"/>
          <w:szCs w:val="18"/>
          <w:lang w:val="tr-TR" w:eastAsia="en-GB"/>
        </w:rPr>
      </w:pPr>
      <w:r w:rsidRPr="00486926">
        <w:rPr>
          <w:rFonts w:ascii="Arial" w:eastAsia="Times New Roman" w:hAnsi="Arial" w:cs="Arial"/>
          <w:color w:val="606060"/>
          <w:sz w:val="18"/>
          <w:szCs w:val="18"/>
          <w:lang w:val="tr-TR" w:eastAsia="en-GB"/>
        </w:rPr>
        <w:t xml:space="preserve">III. </w:t>
      </w:r>
      <w:proofErr w:type="gramStart"/>
      <w:r w:rsidRPr="00486926">
        <w:rPr>
          <w:rFonts w:ascii="Arial" w:eastAsia="Times New Roman" w:hAnsi="Arial" w:cs="Arial"/>
          <w:color w:val="606060"/>
          <w:sz w:val="18"/>
          <w:szCs w:val="18"/>
          <w:lang w:val="tr-TR" w:eastAsia="en-GB"/>
        </w:rPr>
        <w:t xml:space="preserve">ve  </w:t>
      </w:r>
      <w:r w:rsidR="00F031A7" w:rsidRPr="00486926">
        <w:rPr>
          <w:rFonts w:ascii="Arial" w:eastAsia="Times New Roman" w:hAnsi="Arial" w:cs="Arial"/>
          <w:color w:val="606060"/>
          <w:sz w:val="18"/>
          <w:szCs w:val="18"/>
          <w:lang w:val="tr-TR" w:eastAsia="en-GB"/>
        </w:rPr>
        <w:t>V</w:t>
      </w:r>
      <w:proofErr w:type="gramEnd"/>
      <w:r w:rsidRPr="00486926">
        <w:rPr>
          <w:rFonts w:ascii="Arial" w:eastAsia="Times New Roman" w:hAnsi="Arial" w:cs="Arial"/>
          <w:color w:val="606060"/>
          <w:sz w:val="18"/>
          <w:szCs w:val="18"/>
          <w:lang w:val="tr-TR" w:eastAsia="en-GB"/>
        </w:rPr>
        <w:t xml:space="preserve">. Sınıf kaviteler </w:t>
      </w:r>
      <w:r w:rsidR="00F031A7" w:rsidRPr="00486926">
        <w:rPr>
          <w:rFonts w:ascii="Arial" w:eastAsia="Times New Roman" w:hAnsi="Arial" w:cs="Arial"/>
          <w:color w:val="606060"/>
          <w:sz w:val="18"/>
          <w:szCs w:val="18"/>
          <w:lang w:val="tr-TR" w:eastAsia="en-GB"/>
        </w:rPr>
        <w:t xml:space="preserve"> </w:t>
      </w:r>
    </w:p>
    <w:p w:rsidR="00F031A7" w:rsidRPr="00486926" w:rsidRDefault="00012311" w:rsidP="00F031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06060"/>
          <w:sz w:val="18"/>
          <w:szCs w:val="18"/>
          <w:lang w:val="tr-TR" w:eastAsia="en-GB"/>
        </w:rPr>
      </w:pPr>
      <w:r w:rsidRPr="00486926">
        <w:rPr>
          <w:rFonts w:ascii="Arial" w:eastAsia="Times New Roman" w:hAnsi="Arial" w:cs="Arial"/>
          <w:color w:val="606060"/>
          <w:sz w:val="18"/>
          <w:szCs w:val="18"/>
          <w:lang w:val="tr-TR" w:eastAsia="en-GB"/>
        </w:rPr>
        <w:t>Süt dişlerinde posterior kaviteler</w:t>
      </w:r>
    </w:p>
    <w:p w:rsidR="00F031A7" w:rsidRPr="00486926" w:rsidRDefault="0038570A" w:rsidP="00F031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06060"/>
          <w:sz w:val="18"/>
          <w:szCs w:val="18"/>
          <w:lang w:val="tr-TR" w:eastAsia="en-GB"/>
        </w:rPr>
      </w:pPr>
      <w:r w:rsidRPr="00486926">
        <w:rPr>
          <w:rFonts w:ascii="Arial" w:eastAsia="Times New Roman" w:hAnsi="Arial" w:cs="Arial"/>
          <w:color w:val="606060"/>
          <w:sz w:val="18"/>
          <w:szCs w:val="18"/>
          <w:lang w:val="tr-TR" w:eastAsia="en-GB"/>
        </w:rPr>
        <w:t>Pit ve fisürler</w:t>
      </w:r>
    </w:p>
    <w:p w:rsidR="00F031A7" w:rsidRPr="00486926" w:rsidRDefault="0038570A" w:rsidP="00F031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06060"/>
          <w:sz w:val="18"/>
          <w:szCs w:val="18"/>
          <w:lang w:val="tr-TR" w:eastAsia="en-GB"/>
        </w:rPr>
      </w:pPr>
      <w:r w:rsidRPr="00486926">
        <w:rPr>
          <w:rFonts w:ascii="Arial" w:eastAsia="Times New Roman" w:hAnsi="Arial" w:cs="Arial"/>
          <w:color w:val="606060"/>
          <w:sz w:val="18"/>
          <w:szCs w:val="18"/>
          <w:lang w:val="tr-TR" w:eastAsia="en-GB"/>
        </w:rPr>
        <w:t>ART Tekniği</w:t>
      </w:r>
    </w:p>
    <w:p w:rsidR="00F031A7" w:rsidRPr="00486926" w:rsidRDefault="0038570A" w:rsidP="00F031A7">
      <w:pPr>
        <w:shd w:val="clear" w:color="auto" w:fill="FFFFFF"/>
        <w:spacing w:after="150" w:line="270" w:lineRule="atLeast"/>
        <w:outlineLvl w:val="3"/>
        <w:rPr>
          <w:rFonts w:ascii="Arial" w:eastAsia="Times New Roman" w:hAnsi="Arial" w:cs="Arial"/>
          <w:b/>
          <w:bCs/>
          <w:color w:val="606060"/>
          <w:spacing w:val="-15"/>
          <w:sz w:val="18"/>
          <w:szCs w:val="18"/>
          <w:lang w:val="tr-TR" w:eastAsia="en-GB"/>
        </w:rPr>
      </w:pPr>
      <w:r w:rsidRPr="00486926">
        <w:rPr>
          <w:rFonts w:ascii="Arial" w:eastAsia="Times New Roman" w:hAnsi="Arial" w:cs="Arial"/>
          <w:b/>
          <w:bCs/>
          <w:color w:val="606060"/>
          <w:spacing w:val="-15"/>
          <w:sz w:val="18"/>
          <w:szCs w:val="18"/>
          <w:lang w:val="tr-TR" w:eastAsia="en-GB"/>
        </w:rPr>
        <w:t>Genel Özellikler</w:t>
      </w:r>
    </w:p>
    <w:tbl>
      <w:tblPr>
        <w:tblW w:w="94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4"/>
        <w:gridCol w:w="1718"/>
        <w:gridCol w:w="1243"/>
        <w:gridCol w:w="658"/>
        <w:gridCol w:w="976"/>
        <w:gridCol w:w="784"/>
        <w:gridCol w:w="435"/>
        <w:gridCol w:w="1413"/>
      </w:tblGrid>
      <w:tr w:rsidR="0038570A" w:rsidRPr="00486926" w:rsidTr="009B7CE8">
        <w:tc>
          <w:tcPr>
            <w:tcW w:w="0" w:type="auto"/>
            <w:gridSpan w:val="2"/>
            <w:shd w:val="clear" w:color="auto" w:fill="60606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F031A7" w:rsidP="00F031A7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tr-TR" w:eastAsia="en-GB"/>
              </w:rPr>
              <w:t> </w:t>
            </w:r>
          </w:p>
        </w:tc>
        <w:tc>
          <w:tcPr>
            <w:tcW w:w="0" w:type="auto"/>
            <w:shd w:val="clear" w:color="auto" w:fill="60606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1961C5" w:rsidP="00F031A7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tr-TR" w:eastAsia="en-GB"/>
              </w:rPr>
              <w:t>Çalışma S</w:t>
            </w:r>
            <w:r w:rsidR="0038570A" w:rsidRPr="0048692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tr-TR" w:eastAsia="en-GB"/>
              </w:rPr>
              <w:t>üresi</w:t>
            </w:r>
          </w:p>
        </w:tc>
        <w:tc>
          <w:tcPr>
            <w:tcW w:w="0" w:type="auto"/>
            <w:gridSpan w:val="2"/>
            <w:shd w:val="clear" w:color="auto" w:fill="60606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F031A7" w:rsidP="00F150D4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tr-TR" w:eastAsia="en-GB"/>
              </w:rPr>
              <w:t xml:space="preserve">Net </w:t>
            </w:r>
            <w:r w:rsidR="00F150D4" w:rsidRPr="0048692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tr-TR" w:eastAsia="en-GB"/>
              </w:rPr>
              <w:t>Sertleşme</w:t>
            </w:r>
            <w:r w:rsidR="0038570A" w:rsidRPr="0048692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tr-TR" w:eastAsia="en-GB"/>
              </w:rPr>
              <w:t xml:space="preserve"> Süresi</w:t>
            </w:r>
          </w:p>
        </w:tc>
        <w:tc>
          <w:tcPr>
            <w:tcW w:w="0" w:type="auto"/>
            <w:gridSpan w:val="2"/>
            <w:shd w:val="clear" w:color="auto" w:fill="60606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38570A" w:rsidP="0038570A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tr-TR" w:eastAsia="en-GB"/>
              </w:rPr>
            </w:pPr>
            <w:proofErr w:type="gramStart"/>
            <w:r w:rsidRPr="0048692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tr-TR" w:eastAsia="en-GB"/>
              </w:rPr>
              <w:t xml:space="preserve">Sıkışma </w:t>
            </w:r>
            <w:r w:rsidR="00F031A7" w:rsidRPr="0048692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tr-TR" w:eastAsia="en-GB"/>
              </w:rPr>
              <w:t xml:space="preserve"> </w:t>
            </w:r>
            <w:r w:rsidRPr="0048692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tr-TR" w:eastAsia="en-GB"/>
              </w:rPr>
              <w:t>Gücü</w:t>
            </w:r>
            <w:proofErr w:type="gramEnd"/>
          </w:p>
        </w:tc>
        <w:tc>
          <w:tcPr>
            <w:tcW w:w="1413" w:type="dxa"/>
            <w:shd w:val="clear" w:color="auto" w:fill="60606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38570A" w:rsidP="00F031A7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tr-TR" w:eastAsia="en-GB"/>
              </w:rPr>
              <w:t>Opaklık</w:t>
            </w:r>
          </w:p>
        </w:tc>
      </w:tr>
      <w:tr w:rsidR="0038570A" w:rsidRPr="00486926" w:rsidTr="009B7CE8">
        <w:trPr>
          <w:trHeight w:val="150"/>
        </w:trPr>
        <w:tc>
          <w:tcPr>
            <w:tcW w:w="0" w:type="auto"/>
            <w:gridSpan w:val="2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F031A7" w:rsidP="00F031A7">
            <w:pPr>
              <w:spacing w:after="0" w:line="15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tr-TR" w:eastAsia="en-GB"/>
              </w:rPr>
              <w:t>ISO9917-</w:t>
            </w:r>
            <w:proofErr w:type="gramStart"/>
            <w:r w:rsidRPr="00486926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tr-TR" w:eastAsia="en-GB"/>
              </w:rPr>
              <w:t>1:2007</w:t>
            </w:r>
            <w:proofErr w:type="gramEnd"/>
            <w:r w:rsidRPr="00486926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tr-TR" w:eastAsia="en-GB"/>
              </w:rPr>
              <w:t xml:space="preserve"> Class 4.2.c</w:t>
            </w:r>
          </w:p>
        </w:tc>
        <w:tc>
          <w:tcPr>
            <w:tcW w:w="0" w:type="auto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F031A7" w:rsidP="00F031A7">
            <w:pPr>
              <w:spacing w:after="0" w:line="150" w:lineRule="atLeast"/>
              <w:jc w:val="center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–</w:t>
            </w:r>
          </w:p>
        </w:tc>
        <w:tc>
          <w:tcPr>
            <w:tcW w:w="0" w:type="auto"/>
            <w:gridSpan w:val="2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F031A7" w:rsidP="0038570A">
            <w:pPr>
              <w:spacing w:after="0" w:line="150" w:lineRule="atLeast"/>
              <w:jc w:val="center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 xml:space="preserve">1 </w:t>
            </w:r>
            <w:r w:rsidR="0038570A"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dak</w:t>
            </w: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 xml:space="preserve"> 30 s</w:t>
            </w:r>
            <w:r w:rsidR="0038570A"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an</w:t>
            </w: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 xml:space="preserve"> – 6 </w:t>
            </w:r>
            <w:r w:rsidR="0038570A"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dak</w:t>
            </w:r>
          </w:p>
        </w:tc>
        <w:tc>
          <w:tcPr>
            <w:tcW w:w="0" w:type="auto"/>
            <w:gridSpan w:val="2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F031A7" w:rsidP="00F031A7">
            <w:pPr>
              <w:spacing w:after="0" w:line="150" w:lineRule="atLeast"/>
              <w:jc w:val="center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130MPa Minimum</w:t>
            </w:r>
          </w:p>
        </w:tc>
        <w:tc>
          <w:tcPr>
            <w:tcW w:w="1413" w:type="dxa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F031A7" w:rsidP="00F031A7">
            <w:pPr>
              <w:spacing w:after="0" w:line="150" w:lineRule="atLeast"/>
              <w:jc w:val="center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C</w:t>
            </w: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vertAlign w:val="subscript"/>
                <w:lang w:val="tr-TR" w:eastAsia="en-GB"/>
              </w:rPr>
              <w:t>0.70</w:t>
            </w: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 = 0.35 – 0.90</w:t>
            </w:r>
          </w:p>
        </w:tc>
      </w:tr>
      <w:tr w:rsidR="0038570A" w:rsidRPr="00486926" w:rsidTr="009B7CE8">
        <w:trPr>
          <w:trHeight w:val="150"/>
        </w:trPr>
        <w:tc>
          <w:tcPr>
            <w:tcW w:w="0" w:type="auto"/>
            <w:gridSpan w:val="2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38570A" w:rsidP="0038570A">
            <w:pPr>
              <w:spacing w:after="0" w:line="150" w:lineRule="atLeast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tr-TR" w:eastAsia="en-GB"/>
              </w:rPr>
              <w:t>Cam İyonomer Estetik Materyaller– Toz</w:t>
            </w:r>
            <w:r w:rsidR="00F031A7" w:rsidRPr="00486926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tr-TR" w:eastAsia="en-GB"/>
              </w:rPr>
              <w:t>/Li</w:t>
            </w:r>
            <w:r w:rsidRPr="00486926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tr-TR" w:eastAsia="en-GB"/>
              </w:rPr>
              <w:t>kit</w:t>
            </w:r>
          </w:p>
        </w:tc>
        <w:tc>
          <w:tcPr>
            <w:tcW w:w="0" w:type="auto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38570A" w:rsidP="0038570A">
            <w:pPr>
              <w:spacing w:after="0" w:line="150" w:lineRule="atLeast"/>
              <w:jc w:val="center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1 dak 57 san</w:t>
            </w:r>
          </w:p>
        </w:tc>
        <w:tc>
          <w:tcPr>
            <w:tcW w:w="0" w:type="auto"/>
            <w:gridSpan w:val="2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F031A7" w:rsidP="0038570A">
            <w:pPr>
              <w:spacing w:after="0" w:line="150" w:lineRule="atLeast"/>
              <w:jc w:val="center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 xml:space="preserve">2 </w:t>
            </w:r>
            <w:r w:rsidR="0038570A"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dak</w:t>
            </w: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 xml:space="preserve"> 32 s</w:t>
            </w:r>
            <w:r w:rsidR="0038570A"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an</w:t>
            </w:r>
          </w:p>
        </w:tc>
        <w:tc>
          <w:tcPr>
            <w:tcW w:w="0" w:type="auto"/>
            <w:gridSpan w:val="2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F031A7" w:rsidP="00F031A7">
            <w:pPr>
              <w:spacing w:after="0" w:line="150" w:lineRule="atLeast"/>
              <w:jc w:val="center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258MPa</w:t>
            </w:r>
          </w:p>
        </w:tc>
        <w:tc>
          <w:tcPr>
            <w:tcW w:w="1413" w:type="dxa"/>
            <w:tcBorders>
              <w:bottom w:val="single" w:sz="6" w:space="0" w:color="126D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31A7" w:rsidRPr="00486926" w:rsidRDefault="00F031A7" w:rsidP="00F031A7">
            <w:pPr>
              <w:spacing w:after="0" w:line="150" w:lineRule="atLeast"/>
              <w:jc w:val="center"/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</w:pPr>
            <w:r w:rsidRPr="00486926">
              <w:rPr>
                <w:rFonts w:ascii="Arial" w:eastAsia="Times New Roman" w:hAnsi="Arial" w:cs="Arial"/>
                <w:color w:val="606060"/>
                <w:sz w:val="18"/>
                <w:szCs w:val="18"/>
                <w:lang w:val="tr-TR" w:eastAsia="en-GB"/>
              </w:rPr>
              <w:t> </w:t>
            </w:r>
          </w:p>
        </w:tc>
      </w:tr>
      <w:tr w:rsidR="009B7CE8" w:rsidRPr="00486926" w:rsidTr="009B7CE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91" w:type="dxa"/>
          <w:trHeight w:val="315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3C7" w:rsidRPr="00486926" w:rsidRDefault="006123C7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tr-TR" w:eastAsia="en-GB"/>
              </w:rPr>
            </w:pPr>
          </w:p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tr-TR" w:eastAsia="en-GB"/>
              </w:rPr>
              <w:t>Toz / Likit 15gr/7ml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en-GB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en-GB"/>
              </w:rPr>
            </w:pPr>
          </w:p>
        </w:tc>
      </w:tr>
      <w:tr w:rsidR="009B7CE8" w:rsidRPr="00486926" w:rsidTr="009B7CE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91" w:type="dxa"/>
          <w:trHeight w:val="315"/>
        </w:trPr>
        <w:tc>
          <w:tcPr>
            <w:tcW w:w="1866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000000" w:fill="D4FAF9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365F91" w:themeColor="accent1" w:themeShade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365F91" w:themeColor="accent1" w:themeShade="BF"/>
                <w:sz w:val="18"/>
                <w:szCs w:val="18"/>
                <w:lang w:val="tr-TR" w:eastAsia="en-GB"/>
              </w:rPr>
              <w:t>Vita Renkleri</w:t>
            </w:r>
          </w:p>
        </w:tc>
        <w:tc>
          <w:tcPr>
            <w:tcW w:w="1454" w:type="dxa"/>
            <w:tcBorders>
              <w:top w:val="single" w:sz="8" w:space="0" w:color="31849B"/>
              <w:left w:val="nil"/>
              <w:bottom w:val="single" w:sz="8" w:space="0" w:color="31849B"/>
              <w:right w:val="single" w:sz="8" w:space="0" w:color="31849B"/>
            </w:tcBorders>
            <w:shd w:val="clear" w:color="000000" w:fill="D4FAF9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365F91" w:themeColor="accent1" w:themeShade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365F91" w:themeColor="accent1" w:themeShade="BF"/>
                <w:sz w:val="18"/>
                <w:szCs w:val="18"/>
                <w:lang w:val="tr-TR" w:eastAsia="en-GB"/>
              </w:rPr>
              <w:t>Kod</w:t>
            </w:r>
          </w:p>
        </w:tc>
        <w:tc>
          <w:tcPr>
            <w:tcW w:w="1900" w:type="dxa"/>
            <w:gridSpan w:val="2"/>
            <w:tcBorders>
              <w:top w:val="single" w:sz="8" w:space="0" w:color="31849B"/>
              <w:left w:val="nil"/>
              <w:bottom w:val="single" w:sz="8" w:space="0" w:color="31849B"/>
              <w:right w:val="single" w:sz="8" w:space="0" w:color="31849B"/>
            </w:tcBorders>
            <w:shd w:val="clear" w:color="000000" w:fill="D4FAF9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365F91" w:themeColor="accent1" w:themeShade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365F91" w:themeColor="accent1" w:themeShade="BF"/>
                <w:sz w:val="18"/>
                <w:szCs w:val="18"/>
                <w:lang w:val="tr-TR" w:eastAsia="en-GB"/>
              </w:rPr>
              <w:t>Vita Renkleri</w:t>
            </w:r>
          </w:p>
        </w:tc>
        <w:tc>
          <w:tcPr>
            <w:tcW w:w="1760" w:type="dxa"/>
            <w:gridSpan w:val="2"/>
            <w:tcBorders>
              <w:top w:val="single" w:sz="8" w:space="0" w:color="31849B"/>
              <w:left w:val="nil"/>
              <w:bottom w:val="single" w:sz="8" w:space="0" w:color="31849B"/>
              <w:right w:val="single" w:sz="8" w:space="0" w:color="31849B"/>
            </w:tcBorders>
            <w:shd w:val="clear" w:color="000000" w:fill="D4FAF9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365F91" w:themeColor="accent1" w:themeShade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365F91" w:themeColor="accent1" w:themeShade="BF"/>
                <w:sz w:val="18"/>
                <w:szCs w:val="18"/>
                <w:lang w:val="tr-TR" w:eastAsia="en-GB"/>
              </w:rPr>
              <w:t>Kod</w:t>
            </w:r>
          </w:p>
        </w:tc>
      </w:tr>
      <w:tr w:rsidR="009B7CE8" w:rsidRPr="00486926" w:rsidTr="0048692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91" w:type="dxa"/>
          <w:trHeight w:val="209"/>
        </w:trPr>
        <w:tc>
          <w:tcPr>
            <w:tcW w:w="1866" w:type="dxa"/>
            <w:tcBorders>
              <w:top w:val="nil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  <w:t>A1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31849B"/>
              <w:right w:val="single" w:sz="8" w:space="0" w:color="31849B"/>
            </w:tcBorders>
            <w:shd w:val="clear" w:color="auto" w:fill="auto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  <w:t>AH0001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31849B"/>
              <w:right w:val="single" w:sz="8" w:space="0" w:color="31849B"/>
            </w:tcBorders>
            <w:shd w:val="clear" w:color="auto" w:fill="auto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  <w:t xml:space="preserve">B2 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31849B"/>
              <w:right w:val="single" w:sz="8" w:space="0" w:color="31849B"/>
            </w:tcBorders>
            <w:shd w:val="clear" w:color="auto" w:fill="auto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  <w:t>AH0005 B2</w:t>
            </w:r>
          </w:p>
        </w:tc>
      </w:tr>
      <w:tr w:rsidR="009B7CE8" w:rsidRPr="00486926" w:rsidTr="0048692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91" w:type="dxa"/>
          <w:trHeight w:val="256"/>
        </w:trPr>
        <w:tc>
          <w:tcPr>
            <w:tcW w:w="1866" w:type="dxa"/>
            <w:tcBorders>
              <w:top w:val="nil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  <w:t xml:space="preserve">A2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31849B"/>
              <w:right w:val="single" w:sz="8" w:space="0" w:color="31849B"/>
            </w:tcBorders>
            <w:shd w:val="clear" w:color="auto" w:fill="auto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  <w:t>AH0002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31849B"/>
              <w:right w:val="single" w:sz="8" w:space="0" w:color="31849B"/>
            </w:tcBorders>
            <w:shd w:val="clear" w:color="auto" w:fill="auto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  <w:t>B4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31849B"/>
              <w:right w:val="single" w:sz="8" w:space="0" w:color="31849B"/>
            </w:tcBorders>
            <w:shd w:val="clear" w:color="auto" w:fill="auto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  <w:t>AH0006 B4</w:t>
            </w:r>
          </w:p>
        </w:tc>
      </w:tr>
      <w:tr w:rsidR="009B7CE8" w:rsidRPr="00486926" w:rsidTr="0048692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91" w:type="dxa"/>
          <w:trHeight w:val="259"/>
        </w:trPr>
        <w:tc>
          <w:tcPr>
            <w:tcW w:w="1866" w:type="dxa"/>
            <w:tcBorders>
              <w:top w:val="nil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  <w:t>A3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31849B"/>
              <w:right w:val="single" w:sz="8" w:space="0" w:color="31849B"/>
            </w:tcBorders>
            <w:shd w:val="clear" w:color="auto" w:fill="auto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  <w:t>AH0003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31849B"/>
              <w:right w:val="single" w:sz="8" w:space="0" w:color="31849B"/>
            </w:tcBorders>
            <w:shd w:val="clear" w:color="auto" w:fill="auto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  <w:t>C3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31849B"/>
              <w:right w:val="single" w:sz="8" w:space="0" w:color="31849B"/>
            </w:tcBorders>
            <w:shd w:val="clear" w:color="auto" w:fill="auto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  <w:t>AH0007 C3</w:t>
            </w:r>
          </w:p>
        </w:tc>
      </w:tr>
      <w:tr w:rsidR="009B7CE8" w:rsidRPr="00486926" w:rsidTr="0048692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91" w:type="dxa"/>
          <w:trHeight w:val="264"/>
        </w:trPr>
        <w:tc>
          <w:tcPr>
            <w:tcW w:w="1866" w:type="dxa"/>
            <w:tcBorders>
              <w:top w:val="nil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  <w:t>A3.5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31849B"/>
              <w:right w:val="single" w:sz="8" w:space="0" w:color="31849B"/>
            </w:tcBorders>
            <w:shd w:val="clear" w:color="auto" w:fill="auto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  <w:t>AH0003.5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31849B"/>
              <w:right w:val="single" w:sz="8" w:space="0" w:color="31849B"/>
            </w:tcBorders>
            <w:shd w:val="clear" w:color="auto" w:fill="auto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  <w:t>CB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31849B"/>
              <w:right w:val="single" w:sz="8" w:space="0" w:color="31849B"/>
            </w:tcBorders>
            <w:shd w:val="clear" w:color="auto" w:fill="auto"/>
            <w:noWrap/>
            <w:vAlign w:val="bottom"/>
            <w:hideMark/>
          </w:tcPr>
          <w:p w:rsidR="009B7CE8" w:rsidRPr="00486926" w:rsidRDefault="009B7CE8" w:rsidP="009B7C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</w:pPr>
            <w:r w:rsidRPr="00486926">
              <w:rPr>
                <w:rFonts w:ascii="Calibri" w:eastAsia="Times New Roman" w:hAnsi="Calibri" w:cs="Times New Roman"/>
                <w:b/>
                <w:color w:val="404040" w:themeColor="text1" w:themeTint="BF"/>
                <w:sz w:val="18"/>
                <w:szCs w:val="18"/>
                <w:lang w:val="tr-TR" w:eastAsia="en-GB"/>
              </w:rPr>
              <w:t>AH0008 CB</w:t>
            </w:r>
          </w:p>
        </w:tc>
      </w:tr>
    </w:tbl>
    <w:p w:rsidR="0038570A" w:rsidRPr="00486926" w:rsidRDefault="0038570A" w:rsidP="00F031A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606060"/>
          <w:sz w:val="18"/>
          <w:szCs w:val="18"/>
          <w:lang w:val="tr-TR" w:eastAsia="en-GB"/>
        </w:rPr>
      </w:pPr>
    </w:p>
    <w:p w:rsidR="00F031A7" w:rsidRPr="00486926" w:rsidRDefault="0038570A" w:rsidP="00235FC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606060"/>
          <w:spacing w:val="-15"/>
          <w:sz w:val="18"/>
          <w:szCs w:val="18"/>
          <w:lang w:val="tr-TR" w:eastAsia="en-GB"/>
        </w:rPr>
      </w:pPr>
      <w:r w:rsidRPr="00486926">
        <w:rPr>
          <w:rFonts w:ascii="Arial" w:eastAsia="Times New Roman" w:hAnsi="Arial" w:cs="Arial"/>
          <w:b/>
          <w:bCs/>
          <w:color w:val="606060"/>
          <w:spacing w:val="-15"/>
          <w:sz w:val="18"/>
          <w:szCs w:val="18"/>
          <w:lang w:val="tr-TR" w:eastAsia="en-GB"/>
        </w:rPr>
        <w:t xml:space="preserve">Raf </w:t>
      </w:r>
      <w:proofErr w:type="gramStart"/>
      <w:r w:rsidRPr="00486926">
        <w:rPr>
          <w:rFonts w:ascii="Arial" w:eastAsia="Times New Roman" w:hAnsi="Arial" w:cs="Arial"/>
          <w:b/>
          <w:bCs/>
          <w:color w:val="606060"/>
          <w:spacing w:val="-15"/>
          <w:sz w:val="18"/>
          <w:szCs w:val="18"/>
          <w:lang w:val="tr-TR" w:eastAsia="en-GB"/>
        </w:rPr>
        <w:t>ömrü</w:t>
      </w:r>
      <w:r w:rsidR="00235FC7" w:rsidRPr="00486926">
        <w:rPr>
          <w:rFonts w:ascii="Arial" w:eastAsia="Times New Roman" w:hAnsi="Arial" w:cs="Arial"/>
          <w:b/>
          <w:bCs/>
          <w:color w:val="606060"/>
          <w:spacing w:val="-15"/>
          <w:sz w:val="18"/>
          <w:szCs w:val="18"/>
          <w:lang w:val="tr-TR" w:eastAsia="en-GB"/>
        </w:rPr>
        <w:t xml:space="preserve">  </w:t>
      </w:r>
      <w:r w:rsidR="00235FC7" w:rsidRPr="00486926">
        <w:rPr>
          <w:rFonts w:ascii="Arial" w:eastAsia="Times New Roman" w:hAnsi="Arial" w:cs="Arial"/>
          <w:color w:val="606060"/>
          <w:sz w:val="18"/>
          <w:szCs w:val="18"/>
          <w:lang w:val="tr-TR" w:eastAsia="en-GB"/>
        </w:rPr>
        <w:t>Üretim</w:t>
      </w:r>
      <w:proofErr w:type="gramEnd"/>
      <w:r w:rsidR="00235FC7" w:rsidRPr="00486926">
        <w:rPr>
          <w:rFonts w:ascii="Arial" w:eastAsia="Times New Roman" w:hAnsi="Arial" w:cs="Arial"/>
          <w:color w:val="606060"/>
          <w:sz w:val="18"/>
          <w:szCs w:val="18"/>
          <w:lang w:val="tr-TR" w:eastAsia="en-GB"/>
        </w:rPr>
        <w:t xml:space="preserve"> tarihinden itibaren 3 yıl.</w:t>
      </w:r>
    </w:p>
    <w:sectPr w:rsidR="00F031A7" w:rsidRPr="00486926" w:rsidSect="00486926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illSans-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24B0A"/>
    <w:multiLevelType w:val="multilevel"/>
    <w:tmpl w:val="CF72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67533"/>
    <w:rsid w:val="00012311"/>
    <w:rsid w:val="001961C5"/>
    <w:rsid w:val="001E4949"/>
    <w:rsid w:val="00235FC7"/>
    <w:rsid w:val="0035554B"/>
    <w:rsid w:val="003740A2"/>
    <w:rsid w:val="0038570A"/>
    <w:rsid w:val="00486926"/>
    <w:rsid w:val="004B2A61"/>
    <w:rsid w:val="006123C7"/>
    <w:rsid w:val="007D2BC7"/>
    <w:rsid w:val="00867533"/>
    <w:rsid w:val="008A3777"/>
    <w:rsid w:val="009A1648"/>
    <w:rsid w:val="009B7CE8"/>
    <w:rsid w:val="009E7CA7"/>
    <w:rsid w:val="009F41E9"/>
    <w:rsid w:val="00A20974"/>
    <w:rsid w:val="00B4248C"/>
    <w:rsid w:val="00C87ADC"/>
    <w:rsid w:val="00D373CC"/>
    <w:rsid w:val="00F031A7"/>
    <w:rsid w:val="00F1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949"/>
  </w:style>
  <w:style w:type="paragraph" w:styleId="Balk4">
    <w:name w:val="heading 4"/>
    <w:basedOn w:val="Normal"/>
    <w:link w:val="Balk4Char"/>
    <w:uiPriority w:val="9"/>
    <w:qFormat/>
    <w:rsid w:val="00F031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6753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1648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rsid w:val="00F031A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0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Gl">
    <w:name w:val="Strong"/>
    <w:basedOn w:val="VarsaylanParagrafYazTipi"/>
    <w:uiPriority w:val="22"/>
    <w:qFormat/>
    <w:rsid w:val="00F031A7"/>
    <w:rPr>
      <w:b/>
      <w:bCs/>
    </w:rPr>
  </w:style>
  <w:style w:type="character" w:customStyle="1" w:styleId="apple-converted-space">
    <w:name w:val="apple-converted-space"/>
    <w:basedOn w:val="VarsaylanParagrafYazTipi"/>
    <w:rsid w:val="00F03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6E184-6FA1-497F-95B2-5B404519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HUSEYİM_</cp:lastModifiedBy>
  <cp:revision>8</cp:revision>
  <dcterms:created xsi:type="dcterms:W3CDTF">2014-04-05T08:10:00Z</dcterms:created>
  <dcterms:modified xsi:type="dcterms:W3CDTF">2014-09-18T14:58:00Z</dcterms:modified>
</cp:coreProperties>
</file>